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43A3" w14:textId="2C608FFD" w:rsidR="00CB230E" w:rsidRDefault="00794281">
      <w:pPr>
        <w:spacing w:after="400"/>
        <w:jc w:val="right"/>
      </w:pPr>
      <w:r>
        <w:rPr>
          <w:rFonts w:ascii="Calibri" w:eastAsia="Calibri" w:hAnsi="Calibri" w:cs="Calibri"/>
          <w:sz w:val="21"/>
          <w:szCs w:val="21"/>
        </w:rPr>
        <w:t>Tisková zpráva, Uherské hradiště, 24. září 2026</w:t>
      </w:r>
    </w:p>
    <w:p w14:paraId="771DA6BE" w14:textId="56CD627C" w:rsidR="00CB230E" w:rsidRDefault="00794281">
      <w:pPr>
        <w:spacing w:after="300" w:line="276" w:lineRule="auto"/>
      </w:pPr>
      <w:r>
        <w:rPr>
          <w:rFonts w:ascii="Calibri" w:eastAsia="Calibri" w:hAnsi="Calibri" w:cs="Calibri"/>
          <w:b/>
          <w:bCs/>
          <w:sz w:val="32"/>
          <w:szCs w:val="32"/>
        </w:rPr>
        <w:t xml:space="preserve">Růst pokračuje. Tržby </w:t>
      </w:r>
      <w:proofErr w:type="spellStart"/>
      <w:r>
        <w:rPr>
          <w:rFonts w:ascii="Calibri" w:eastAsia="Calibri" w:hAnsi="Calibri" w:cs="Calibri"/>
          <w:b/>
          <w:bCs/>
          <w:sz w:val="32"/>
          <w:szCs w:val="32"/>
        </w:rPr>
        <w:t>mmcité</w:t>
      </w:r>
      <w:proofErr w:type="spellEnd"/>
      <w:r>
        <w:rPr>
          <w:rFonts w:ascii="Calibri" w:eastAsia="Calibri" w:hAnsi="Calibri" w:cs="Calibri"/>
          <w:b/>
          <w:bCs/>
          <w:sz w:val="32"/>
          <w:szCs w:val="32"/>
        </w:rPr>
        <w:t xml:space="preserve"> vzrostly ve druhém kvartále o 17 %, EBITDA o 9 %</w:t>
      </w:r>
    </w:p>
    <w:p w14:paraId="4792C1C1" w14:textId="2C7BC92E" w:rsidR="00CB230E" w:rsidRDefault="00794281">
      <w:pPr>
        <w:spacing w:after="200" w:line="276" w:lineRule="auto"/>
        <w:jc w:val="both"/>
      </w:pPr>
      <w:r>
        <w:rPr>
          <w:rFonts w:ascii="Calibri" w:eastAsia="Calibri" w:hAnsi="Calibri" w:cs="Calibri"/>
          <w:b/>
          <w:bCs/>
          <w:sz w:val="21"/>
          <w:szCs w:val="21"/>
        </w:rPr>
        <w:t xml:space="preserve">Skupina </w:t>
      </w:r>
      <w:proofErr w:type="spellStart"/>
      <w:r>
        <w:rPr>
          <w:rFonts w:ascii="Calibri" w:eastAsia="Calibri" w:hAnsi="Calibri" w:cs="Calibri"/>
          <w:b/>
          <w:bCs/>
          <w:sz w:val="21"/>
          <w:szCs w:val="21"/>
        </w:rPr>
        <w:t>mmcité</w:t>
      </w:r>
      <w:proofErr w:type="spellEnd"/>
      <w:r>
        <w:rPr>
          <w:rFonts w:ascii="Calibri" w:eastAsia="Calibri" w:hAnsi="Calibri" w:cs="Calibri"/>
          <w:b/>
          <w:bCs/>
          <w:sz w:val="21"/>
          <w:szCs w:val="21"/>
        </w:rPr>
        <w:t>, jejíž akcie se obchodují na trhu Start Market pražské burzy, dnes zveřejnila vybrané ukazatele hospodaření za druhý kvartál roku 2026. Tržby za druhý kvartál dosáhly úrovně 367 milionů korun, což představuje meziroční růst o 16,7 %. Za první pololetí 2026 tržby vzrostly o 17,2 % na 564 milionů korun. Provozní zisk EBITDA se meziročně zvýšil o 8,6 % na 29,9 milionu korun, čistý zisk zůstal meziročně stabilní na úrovni 12,7 milionu korun.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078"/>
        <w:gridCol w:w="2078"/>
        <w:gridCol w:w="2078"/>
      </w:tblGrid>
      <w:tr w:rsidR="00CB230E" w14:paraId="76119844" w14:textId="77777777" w:rsidTr="00C07D07">
        <w:tc>
          <w:tcPr>
            <w:tcW w:w="3400" w:type="dxa"/>
            <w:tcMar>
              <w:top w:w="60" w:type="dxa"/>
              <w:left w:w="100" w:type="dxa"/>
              <w:bottom w:w="60" w:type="dxa"/>
              <w:right w:w="100" w:type="dxa"/>
            </w:tcMar>
          </w:tcPr>
          <w:p w14:paraId="641FF755" w14:textId="77777777" w:rsidR="00CB230E" w:rsidRDefault="00386D8E">
            <w:r>
              <w:rPr>
                <w:rFonts w:ascii="Calibri" w:eastAsia="Calibri" w:hAnsi="Calibri" w:cs="Calibri"/>
                <w:b/>
                <w:bCs/>
                <w:sz w:val="21"/>
                <w:szCs w:val="21"/>
              </w:rPr>
              <w:t>Konsolidované údaje v tis. Kč</w:t>
            </w:r>
          </w:p>
        </w:tc>
        <w:tc>
          <w:tcPr>
            <w:tcW w:w="2078" w:type="dxa"/>
            <w:tcMar>
              <w:top w:w="60" w:type="dxa"/>
              <w:left w:w="100" w:type="dxa"/>
              <w:bottom w:w="60" w:type="dxa"/>
              <w:right w:w="100" w:type="dxa"/>
            </w:tcMar>
          </w:tcPr>
          <w:p w14:paraId="39605923" w14:textId="503FA441" w:rsidR="00CB230E" w:rsidRDefault="00794281">
            <w:pPr>
              <w:jc w:val="center"/>
            </w:pPr>
            <w:r>
              <w:rPr>
                <w:rFonts w:ascii="Calibri" w:eastAsia="Calibri" w:hAnsi="Calibri" w:cs="Calibri"/>
                <w:b/>
                <w:bCs/>
                <w:sz w:val="21"/>
                <w:szCs w:val="21"/>
              </w:rPr>
              <w:t>Q2 2026</w:t>
            </w:r>
          </w:p>
        </w:tc>
        <w:tc>
          <w:tcPr>
            <w:tcW w:w="2078" w:type="dxa"/>
            <w:tcMar>
              <w:top w:w="60" w:type="dxa"/>
              <w:left w:w="100" w:type="dxa"/>
              <w:bottom w:w="60" w:type="dxa"/>
              <w:right w:w="100" w:type="dxa"/>
            </w:tcMar>
          </w:tcPr>
          <w:p w14:paraId="404864B6" w14:textId="2738EDC5" w:rsidR="00CB230E" w:rsidRDefault="00794281">
            <w:pPr>
              <w:jc w:val="center"/>
            </w:pPr>
            <w:r>
              <w:rPr>
                <w:rFonts w:ascii="Calibri" w:eastAsia="Calibri" w:hAnsi="Calibri" w:cs="Calibri"/>
                <w:b/>
                <w:bCs/>
                <w:sz w:val="21"/>
                <w:szCs w:val="21"/>
              </w:rPr>
              <w:t>Q2 2025</w:t>
            </w:r>
          </w:p>
        </w:tc>
        <w:tc>
          <w:tcPr>
            <w:tcW w:w="2078" w:type="dxa"/>
            <w:tcMar>
              <w:top w:w="60" w:type="dxa"/>
              <w:left w:w="100" w:type="dxa"/>
              <w:bottom w:w="60" w:type="dxa"/>
              <w:right w:w="100" w:type="dxa"/>
            </w:tcMar>
          </w:tcPr>
          <w:p w14:paraId="344C8185" w14:textId="77777777" w:rsidR="00CB230E" w:rsidRDefault="00386D8E">
            <w:pPr>
              <w:jc w:val="center"/>
            </w:pPr>
            <w:r>
              <w:rPr>
                <w:rFonts w:ascii="Calibri" w:eastAsia="Calibri" w:hAnsi="Calibri" w:cs="Calibri"/>
                <w:b/>
                <w:bCs/>
                <w:sz w:val="21"/>
                <w:szCs w:val="21"/>
              </w:rPr>
              <w:t>Meziroční změna</w:t>
            </w:r>
          </w:p>
        </w:tc>
      </w:tr>
      <w:tr w:rsidR="00CB230E" w14:paraId="6C14A746" w14:textId="77777777" w:rsidTr="00C07D07">
        <w:tc>
          <w:tcPr>
            <w:tcW w:w="3400" w:type="dxa"/>
            <w:tcMar>
              <w:top w:w="60" w:type="dxa"/>
              <w:left w:w="100" w:type="dxa"/>
              <w:bottom w:w="60" w:type="dxa"/>
              <w:right w:w="100" w:type="dxa"/>
            </w:tcMar>
          </w:tcPr>
          <w:p w14:paraId="1C0B5773" w14:textId="77777777" w:rsidR="00CB230E" w:rsidRDefault="00386D8E">
            <w:r>
              <w:rPr>
                <w:rFonts w:ascii="Calibri" w:eastAsia="Calibri" w:hAnsi="Calibri" w:cs="Calibri"/>
                <w:sz w:val="21"/>
                <w:szCs w:val="21"/>
              </w:rPr>
              <w:t>Tržby</w:t>
            </w:r>
          </w:p>
        </w:tc>
        <w:tc>
          <w:tcPr>
            <w:tcW w:w="2078" w:type="dxa"/>
            <w:tcMar>
              <w:top w:w="60" w:type="dxa"/>
              <w:left w:w="100" w:type="dxa"/>
              <w:bottom w:w="60" w:type="dxa"/>
              <w:right w:w="100" w:type="dxa"/>
            </w:tcMar>
          </w:tcPr>
          <w:p w14:paraId="7A269C3C" w14:textId="681DECC6" w:rsidR="00CB230E" w:rsidRDefault="00794281">
            <w:pPr>
              <w:jc w:val="center"/>
            </w:pPr>
            <w:r>
              <w:rPr>
                <w:rFonts w:ascii="Calibri" w:eastAsia="Calibri" w:hAnsi="Calibri" w:cs="Calibri"/>
                <w:sz w:val="21"/>
                <w:szCs w:val="21"/>
              </w:rPr>
              <w:t>367.466</w:t>
            </w:r>
          </w:p>
        </w:tc>
        <w:tc>
          <w:tcPr>
            <w:tcW w:w="2078" w:type="dxa"/>
            <w:tcMar>
              <w:top w:w="60" w:type="dxa"/>
              <w:left w:w="100" w:type="dxa"/>
              <w:bottom w:w="60" w:type="dxa"/>
              <w:right w:w="100" w:type="dxa"/>
            </w:tcMar>
          </w:tcPr>
          <w:p w14:paraId="3644923F" w14:textId="346290BF" w:rsidR="00CB230E" w:rsidRDefault="00794281">
            <w:pPr>
              <w:jc w:val="center"/>
            </w:pPr>
            <w:r>
              <w:rPr>
                <w:rFonts w:ascii="Calibri" w:eastAsia="Calibri" w:hAnsi="Calibri" w:cs="Calibri"/>
                <w:sz w:val="21"/>
                <w:szCs w:val="21"/>
              </w:rPr>
              <w:t>314.836</w:t>
            </w:r>
          </w:p>
        </w:tc>
        <w:tc>
          <w:tcPr>
            <w:tcW w:w="2078" w:type="dxa"/>
            <w:tcMar>
              <w:top w:w="60" w:type="dxa"/>
              <w:left w:w="100" w:type="dxa"/>
              <w:bottom w:w="60" w:type="dxa"/>
              <w:right w:w="100" w:type="dxa"/>
            </w:tcMar>
          </w:tcPr>
          <w:p w14:paraId="7FAB5CD0" w14:textId="7750E1EB" w:rsidR="00CB230E" w:rsidRDefault="00794281">
            <w:pPr>
              <w:jc w:val="center"/>
            </w:pPr>
            <w:r>
              <w:rPr>
                <w:rFonts w:ascii="Calibri" w:eastAsia="Calibri" w:hAnsi="Calibri" w:cs="Calibri"/>
                <w:sz w:val="21"/>
                <w:szCs w:val="21"/>
              </w:rPr>
              <w:t>+16,7 %</w:t>
            </w:r>
          </w:p>
        </w:tc>
      </w:tr>
      <w:tr w:rsidR="00CB230E" w14:paraId="009CE7ED" w14:textId="77777777" w:rsidTr="00C07D07">
        <w:tc>
          <w:tcPr>
            <w:tcW w:w="3400" w:type="dxa"/>
            <w:tcMar>
              <w:top w:w="60" w:type="dxa"/>
              <w:left w:w="100" w:type="dxa"/>
              <w:bottom w:w="60" w:type="dxa"/>
              <w:right w:w="100" w:type="dxa"/>
            </w:tcMar>
          </w:tcPr>
          <w:p w14:paraId="6F621140" w14:textId="77777777" w:rsidR="00CB230E" w:rsidRDefault="00386D8E">
            <w:r>
              <w:rPr>
                <w:rFonts w:ascii="Calibri" w:eastAsia="Calibri" w:hAnsi="Calibri" w:cs="Calibri"/>
                <w:sz w:val="21"/>
                <w:szCs w:val="21"/>
              </w:rPr>
              <w:t>EBITDA</w:t>
            </w:r>
          </w:p>
        </w:tc>
        <w:tc>
          <w:tcPr>
            <w:tcW w:w="2078" w:type="dxa"/>
            <w:tcMar>
              <w:top w:w="60" w:type="dxa"/>
              <w:left w:w="100" w:type="dxa"/>
              <w:bottom w:w="60" w:type="dxa"/>
              <w:right w:w="100" w:type="dxa"/>
            </w:tcMar>
          </w:tcPr>
          <w:p w14:paraId="203CC8F3" w14:textId="68519301" w:rsidR="00CB230E" w:rsidRDefault="00794281">
            <w:pPr>
              <w:jc w:val="center"/>
            </w:pPr>
            <w:r>
              <w:rPr>
                <w:rFonts w:ascii="Calibri" w:eastAsia="Calibri" w:hAnsi="Calibri" w:cs="Calibri"/>
                <w:sz w:val="21"/>
                <w:szCs w:val="21"/>
              </w:rPr>
              <w:t>29.899</w:t>
            </w:r>
          </w:p>
        </w:tc>
        <w:tc>
          <w:tcPr>
            <w:tcW w:w="2078" w:type="dxa"/>
            <w:tcMar>
              <w:top w:w="60" w:type="dxa"/>
              <w:left w:w="100" w:type="dxa"/>
              <w:bottom w:w="60" w:type="dxa"/>
              <w:right w:w="100" w:type="dxa"/>
            </w:tcMar>
          </w:tcPr>
          <w:p w14:paraId="56F5E020" w14:textId="305D4E25" w:rsidR="00CB230E" w:rsidRDefault="00794281">
            <w:pPr>
              <w:jc w:val="center"/>
            </w:pPr>
            <w:r>
              <w:rPr>
                <w:rFonts w:ascii="Calibri" w:eastAsia="Calibri" w:hAnsi="Calibri" w:cs="Calibri"/>
                <w:sz w:val="21"/>
                <w:szCs w:val="21"/>
              </w:rPr>
              <w:t>27.526</w:t>
            </w:r>
          </w:p>
        </w:tc>
        <w:tc>
          <w:tcPr>
            <w:tcW w:w="2078" w:type="dxa"/>
            <w:tcMar>
              <w:top w:w="60" w:type="dxa"/>
              <w:left w:w="100" w:type="dxa"/>
              <w:bottom w:w="60" w:type="dxa"/>
              <w:right w:w="100" w:type="dxa"/>
            </w:tcMar>
          </w:tcPr>
          <w:p w14:paraId="31A42143" w14:textId="358BF9A5" w:rsidR="00CB230E" w:rsidRDefault="00794281">
            <w:pPr>
              <w:jc w:val="center"/>
            </w:pPr>
            <w:r>
              <w:rPr>
                <w:rFonts w:ascii="Calibri" w:eastAsia="Calibri" w:hAnsi="Calibri" w:cs="Calibri"/>
                <w:sz w:val="21"/>
                <w:szCs w:val="21"/>
              </w:rPr>
              <w:t>+8,6 %</w:t>
            </w:r>
          </w:p>
        </w:tc>
      </w:tr>
      <w:tr w:rsidR="00CB230E" w14:paraId="7264C873" w14:textId="77777777" w:rsidTr="00C07D07">
        <w:tc>
          <w:tcPr>
            <w:tcW w:w="3400" w:type="dxa"/>
            <w:tcMar>
              <w:top w:w="60" w:type="dxa"/>
              <w:left w:w="100" w:type="dxa"/>
              <w:bottom w:w="60" w:type="dxa"/>
              <w:right w:w="100" w:type="dxa"/>
            </w:tcMar>
          </w:tcPr>
          <w:p w14:paraId="1E7A27BF" w14:textId="77777777" w:rsidR="00CB230E" w:rsidRDefault="00386D8E">
            <w:r>
              <w:rPr>
                <w:rFonts w:ascii="Calibri" w:eastAsia="Calibri" w:hAnsi="Calibri" w:cs="Calibri"/>
                <w:sz w:val="21"/>
                <w:szCs w:val="21"/>
              </w:rPr>
              <w:t>EBITDA marže</w:t>
            </w:r>
          </w:p>
        </w:tc>
        <w:tc>
          <w:tcPr>
            <w:tcW w:w="2078" w:type="dxa"/>
            <w:tcMar>
              <w:top w:w="60" w:type="dxa"/>
              <w:left w:w="100" w:type="dxa"/>
              <w:bottom w:w="60" w:type="dxa"/>
              <w:right w:w="100" w:type="dxa"/>
            </w:tcMar>
          </w:tcPr>
          <w:p w14:paraId="4F538A27" w14:textId="33A6BA9B" w:rsidR="00CB230E" w:rsidRDefault="00794281">
            <w:pPr>
              <w:jc w:val="center"/>
            </w:pPr>
            <w:r>
              <w:rPr>
                <w:rFonts w:ascii="Calibri" w:eastAsia="Calibri" w:hAnsi="Calibri" w:cs="Calibri"/>
                <w:sz w:val="21"/>
                <w:szCs w:val="21"/>
              </w:rPr>
              <w:t>8,14 %</w:t>
            </w:r>
          </w:p>
        </w:tc>
        <w:tc>
          <w:tcPr>
            <w:tcW w:w="2078" w:type="dxa"/>
            <w:tcMar>
              <w:top w:w="60" w:type="dxa"/>
              <w:left w:w="100" w:type="dxa"/>
              <w:bottom w:w="60" w:type="dxa"/>
              <w:right w:w="100" w:type="dxa"/>
            </w:tcMar>
          </w:tcPr>
          <w:p w14:paraId="52E7CF40" w14:textId="3C969A88" w:rsidR="00CB230E" w:rsidRDefault="00794281">
            <w:pPr>
              <w:jc w:val="center"/>
            </w:pPr>
            <w:r>
              <w:rPr>
                <w:rFonts w:ascii="Calibri" w:eastAsia="Calibri" w:hAnsi="Calibri" w:cs="Calibri"/>
                <w:sz w:val="21"/>
                <w:szCs w:val="21"/>
              </w:rPr>
              <w:t>8,74 %</w:t>
            </w:r>
          </w:p>
        </w:tc>
        <w:tc>
          <w:tcPr>
            <w:tcW w:w="2078" w:type="dxa"/>
            <w:tcMar>
              <w:top w:w="60" w:type="dxa"/>
              <w:left w:w="100" w:type="dxa"/>
              <w:bottom w:w="60" w:type="dxa"/>
              <w:right w:w="100" w:type="dxa"/>
            </w:tcMar>
          </w:tcPr>
          <w:p w14:paraId="22069A93" w14:textId="0A073C27" w:rsidR="00CB230E" w:rsidRDefault="00794281">
            <w:pPr>
              <w:jc w:val="center"/>
            </w:pPr>
            <w:r>
              <w:rPr>
                <w:rFonts w:ascii="Calibri" w:eastAsia="Calibri" w:hAnsi="Calibri" w:cs="Calibri"/>
                <w:sz w:val="21"/>
                <w:szCs w:val="21"/>
              </w:rPr>
              <w:t xml:space="preserve">-0,6 </w:t>
            </w:r>
            <w:proofErr w:type="spellStart"/>
            <w:r>
              <w:rPr>
                <w:rFonts w:ascii="Calibri" w:eastAsia="Calibri" w:hAnsi="Calibri" w:cs="Calibri"/>
                <w:sz w:val="21"/>
                <w:szCs w:val="21"/>
              </w:rPr>
              <w:t>p.b</w:t>
            </w:r>
            <w:proofErr w:type="spellEnd"/>
            <w:r>
              <w:rPr>
                <w:rFonts w:ascii="Calibri" w:eastAsia="Calibri" w:hAnsi="Calibri" w:cs="Calibri"/>
                <w:sz w:val="21"/>
                <w:szCs w:val="21"/>
              </w:rPr>
              <w:t>.</w:t>
            </w:r>
          </w:p>
        </w:tc>
      </w:tr>
      <w:tr w:rsidR="00CB230E" w14:paraId="6F0C0B48" w14:textId="77777777" w:rsidTr="00C07D07">
        <w:tc>
          <w:tcPr>
            <w:tcW w:w="3400" w:type="dxa"/>
            <w:tcMar>
              <w:top w:w="60" w:type="dxa"/>
              <w:left w:w="100" w:type="dxa"/>
              <w:bottom w:w="60" w:type="dxa"/>
              <w:right w:w="100" w:type="dxa"/>
            </w:tcMar>
          </w:tcPr>
          <w:p w14:paraId="1F6AD5D2" w14:textId="77777777" w:rsidR="00CB230E" w:rsidRDefault="00386D8E">
            <w:r>
              <w:rPr>
                <w:rFonts w:ascii="Calibri" w:eastAsia="Calibri" w:hAnsi="Calibri" w:cs="Calibri"/>
                <w:sz w:val="21"/>
                <w:szCs w:val="21"/>
              </w:rPr>
              <w:t>Čistý zisk</w:t>
            </w:r>
          </w:p>
        </w:tc>
        <w:tc>
          <w:tcPr>
            <w:tcW w:w="2078" w:type="dxa"/>
            <w:tcMar>
              <w:top w:w="60" w:type="dxa"/>
              <w:left w:w="100" w:type="dxa"/>
              <w:bottom w:w="60" w:type="dxa"/>
              <w:right w:w="100" w:type="dxa"/>
            </w:tcMar>
          </w:tcPr>
          <w:p w14:paraId="60999E72" w14:textId="2CDA227A" w:rsidR="00CB230E" w:rsidRDefault="00794281">
            <w:pPr>
              <w:jc w:val="center"/>
            </w:pPr>
            <w:r>
              <w:rPr>
                <w:rFonts w:ascii="Calibri" w:eastAsia="Calibri" w:hAnsi="Calibri" w:cs="Calibri"/>
                <w:sz w:val="21"/>
                <w:szCs w:val="21"/>
              </w:rPr>
              <w:t>12.690</w:t>
            </w:r>
          </w:p>
        </w:tc>
        <w:tc>
          <w:tcPr>
            <w:tcW w:w="2078" w:type="dxa"/>
            <w:tcMar>
              <w:top w:w="60" w:type="dxa"/>
              <w:left w:w="100" w:type="dxa"/>
              <w:bottom w:w="60" w:type="dxa"/>
              <w:right w:w="100" w:type="dxa"/>
            </w:tcMar>
          </w:tcPr>
          <w:p w14:paraId="00606E5C" w14:textId="3237E050" w:rsidR="00CB230E" w:rsidRDefault="00794281">
            <w:pPr>
              <w:jc w:val="center"/>
            </w:pPr>
            <w:r>
              <w:rPr>
                <w:rFonts w:ascii="Calibri" w:eastAsia="Calibri" w:hAnsi="Calibri" w:cs="Calibri"/>
                <w:sz w:val="21"/>
                <w:szCs w:val="21"/>
              </w:rPr>
              <w:t>12.757</w:t>
            </w:r>
          </w:p>
        </w:tc>
        <w:tc>
          <w:tcPr>
            <w:tcW w:w="2078" w:type="dxa"/>
            <w:tcMar>
              <w:top w:w="60" w:type="dxa"/>
              <w:left w:w="100" w:type="dxa"/>
              <w:bottom w:w="60" w:type="dxa"/>
              <w:right w:w="100" w:type="dxa"/>
            </w:tcMar>
          </w:tcPr>
          <w:p w14:paraId="0E7664F7" w14:textId="6F77A1C3" w:rsidR="00CB230E" w:rsidRDefault="00794281">
            <w:pPr>
              <w:jc w:val="center"/>
            </w:pPr>
            <w:r>
              <w:rPr>
                <w:rFonts w:ascii="Calibri" w:eastAsia="Calibri" w:hAnsi="Calibri" w:cs="Calibri"/>
                <w:sz w:val="21"/>
                <w:szCs w:val="21"/>
              </w:rPr>
              <w:t>-0,5 %</w:t>
            </w:r>
          </w:p>
        </w:tc>
      </w:tr>
    </w:tbl>
    <w:p w14:paraId="3C19B02A" w14:textId="77777777" w:rsidR="00CB230E" w:rsidRDefault="00CB230E">
      <w:pPr>
        <w:spacing w:after="200"/>
      </w:pPr>
    </w:p>
    <w:p w14:paraId="40881399" w14:textId="7A807C0D" w:rsidR="00CB230E" w:rsidRDefault="00794281">
      <w:pPr>
        <w:spacing w:after="200" w:line="276" w:lineRule="auto"/>
        <w:jc w:val="both"/>
      </w:pPr>
      <w:r>
        <w:rPr>
          <w:rFonts w:ascii="Calibri" w:eastAsia="Calibri" w:hAnsi="Calibri" w:cs="Calibri"/>
          <w:sz w:val="21"/>
          <w:szCs w:val="21"/>
        </w:rPr>
        <w:t xml:space="preserve">Skupina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pokračovala ve druhém kvartále 2026 v dynamickém růstu. Meziroční růst tržeb dosáhl 16,7 %, za první pololetí 17,2 %, přičemž silné výsledky společnost vykazuje především v Česku a na Slovensku díky blížícím se volbám, které tradičně podporují investice do veřejného prostoru. Výroba je při dvousměnném provozu naplněna objednávkami </w:t>
      </w:r>
      <w:r w:rsidR="00D935FD">
        <w:rPr>
          <w:rFonts w:ascii="Calibri" w:eastAsia="Calibri" w:hAnsi="Calibri" w:cs="Calibri"/>
          <w:sz w:val="21"/>
          <w:szCs w:val="21"/>
        </w:rPr>
        <w:t>blízko</w:t>
      </w:r>
      <w:r>
        <w:rPr>
          <w:rFonts w:ascii="Calibri" w:eastAsia="Calibri" w:hAnsi="Calibri" w:cs="Calibri"/>
          <w:sz w:val="21"/>
          <w:szCs w:val="21"/>
        </w:rPr>
        <w:t xml:space="preserve"> maximální kapacit</w:t>
      </w:r>
      <w:r w:rsidR="00D935FD">
        <w:rPr>
          <w:rFonts w:ascii="Calibri" w:eastAsia="Calibri" w:hAnsi="Calibri" w:cs="Calibri"/>
          <w:sz w:val="21"/>
          <w:szCs w:val="21"/>
        </w:rPr>
        <w:t>ě</w:t>
      </w:r>
      <w:r>
        <w:rPr>
          <w:rFonts w:ascii="Calibri" w:eastAsia="Calibri" w:hAnsi="Calibri" w:cs="Calibri"/>
          <w:sz w:val="21"/>
          <w:szCs w:val="21"/>
        </w:rPr>
        <w:t xml:space="preserve"> a probíhá efektivně – lakovna zvládla za první pololetí 2026 objem srovnatelný s celým rokem 2025.</w:t>
      </w:r>
    </w:p>
    <w:p w14:paraId="3F64B457" w14:textId="0C685150" w:rsidR="00CB230E" w:rsidRDefault="00794281">
      <w:pPr>
        <w:spacing w:after="200" w:line="276" w:lineRule="auto"/>
        <w:jc w:val="both"/>
      </w:pPr>
      <w:r>
        <w:rPr>
          <w:rFonts w:ascii="Calibri" w:eastAsia="Calibri" w:hAnsi="Calibri" w:cs="Calibri"/>
          <w:sz w:val="21"/>
          <w:szCs w:val="21"/>
        </w:rPr>
        <w:t>Provozní zisk EBITDA vzrostl meziročně o 8,6 % na 29,9 milionu korun při EBITDA marži 8,14 % (Q2 2025: 8,74 %). Růst objemu tak byl doprovázen mírně nižší marží, na kterou působí tlak na cenu v obchodu. Provozní výsledek hospodaření EBIT zůstal meziročně prakticky stabilní na 21,8 milionu korun; od roku 2026 společnost rozpočítává odhad odpisu konsolidačního rozdílu rovnoměrně do jednotlivých kvartálů, což zvýšilo úpravy hodnot v provozní oblasti o 44,9 %</w:t>
      </w:r>
      <w:r w:rsidR="00D935FD">
        <w:rPr>
          <w:rFonts w:ascii="Calibri" w:eastAsia="Calibri" w:hAnsi="Calibri" w:cs="Calibri"/>
          <w:sz w:val="21"/>
          <w:szCs w:val="21"/>
        </w:rPr>
        <w:t xml:space="preserve">. Díky této změně budou výsledky společnost stabilnější a </w:t>
      </w:r>
      <w:proofErr w:type="spellStart"/>
      <w:r w:rsidR="00D935FD">
        <w:rPr>
          <w:rFonts w:ascii="Calibri" w:eastAsia="Calibri" w:hAnsi="Calibri" w:cs="Calibri"/>
          <w:sz w:val="21"/>
          <w:szCs w:val="21"/>
        </w:rPr>
        <w:t>predikovatelnější</w:t>
      </w:r>
      <w:proofErr w:type="spellEnd"/>
      <w:r w:rsidR="00D935FD">
        <w:rPr>
          <w:rFonts w:ascii="Calibri" w:eastAsia="Calibri" w:hAnsi="Calibri" w:cs="Calibri"/>
          <w:sz w:val="21"/>
          <w:szCs w:val="21"/>
        </w:rPr>
        <w:t xml:space="preserve"> a bez výkyvu, ke kterému došlo ve 4Q 2025.</w:t>
      </w:r>
      <w:r>
        <w:rPr>
          <w:rFonts w:ascii="Calibri" w:eastAsia="Calibri" w:hAnsi="Calibri" w:cs="Calibri"/>
          <w:sz w:val="21"/>
          <w:szCs w:val="21"/>
        </w:rPr>
        <w:t xml:space="preserve"> Čistý zisk dosáhl 12,7 milionu korun, tedy prakticky shodné úrovně jako ve stejném období loňského roku.</w:t>
      </w:r>
    </w:p>
    <w:p w14:paraId="15674CB1" w14:textId="2770926C" w:rsidR="00CB230E" w:rsidRDefault="00794281">
      <w:pPr>
        <w:spacing w:after="200" w:line="276" w:lineRule="auto"/>
        <w:jc w:val="both"/>
      </w:pPr>
      <w:r>
        <w:rPr>
          <w:rFonts w:ascii="Calibri" w:eastAsia="Calibri" w:hAnsi="Calibri" w:cs="Calibri"/>
          <w:sz w:val="21"/>
          <w:szCs w:val="21"/>
        </w:rPr>
        <w:t xml:space="preserve">„Druhý kvartál potvrdil, že se nám daří růst – tržby meziročně vzrostly o téměř 17 % a za první pololetí o více než 17 %. Výroba je naplněna objednávkami </w:t>
      </w:r>
      <w:r w:rsidR="00D935FD">
        <w:rPr>
          <w:rFonts w:ascii="Calibri" w:eastAsia="Calibri" w:hAnsi="Calibri" w:cs="Calibri"/>
          <w:sz w:val="21"/>
          <w:szCs w:val="21"/>
        </w:rPr>
        <w:t>blízko</w:t>
      </w:r>
      <w:r>
        <w:rPr>
          <w:rFonts w:ascii="Calibri" w:eastAsia="Calibri" w:hAnsi="Calibri" w:cs="Calibri"/>
          <w:sz w:val="21"/>
          <w:szCs w:val="21"/>
        </w:rPr>
        <w:t xml:space="preserve"> maximální kapacit</w:t>
      </w:r>
      <w:r w:rsidR="00D935FD">
        <w:rPr>
          <w:rFonts w:ascii="Calibri" w:eastAsia="Calibri" w:hAnsi="Calibri" w:cs="Calibri"/>
          <w:sz w:val="21"/>
          <w:szCs w:val="21"/>
        </w:rPr>
        <w:t>ě</w:t>
      </w:r>
      <w:r>
        <w:rPr>
          <w:rFonts w:ascii="Calibri" w:eastAsia="Calibri" w:hAnsi="Calibri" w:cs="Calibri"/>
          <w:sz w:val="21"/>
          <w:szCs w:val="21"/>
        </w:rPr>
        <w:t xml:space="preserve"> a po loňských optimalizacích pracuje výrazně efektivněji. Objednávky dál rostou a ve zbytku roku 2026 vidíme prostor pro další akceleraci růstu. Proto v tuto chvíli cílíme na horní hranici pásma našeho celoročního výhledu,“ komentuje výsledky David Karásek, CEO společnosti </w:t>
      </w:r>
      <w:proofErr w:type="spellStart"/>
      <w:r>
        <w:rPr>
          <w:rFonts w:ascii="Calibri" w:eastAsia="Calibri" w:hAnsi="Calibri" w:cs="Calibri"/>
          <w:sz w:val="21"/>
          <w:szCs w:val="21"/>
        </w:rPr>
        <w:t>mmcité</w:t>
      </w:r>
      <w:proofErr w:type="spellEnd"/>
      <w:r>
        <w:rPr>
          <w:rFonts w:ascii="Calibri" w:eastAsia="Calibri" w:hAnsi="Calibri" w:cs="Calibri"/>
          <w:sz w:val="21"/>
          <w:szCs w:val="21"/>
        </w:rPr>
        <w:t>.</w:t>
      </w:r>
    </w:p>
    <w:p w14:paraId="36F5E909" w14:textId="4FF1D2B6" w:rsidR="00CB230E" w:rsidRDefault="00794281">
      <w:pPr>
        <w:spacing w:after="200" w:line="276" w:lineRule="auto"/>
        <w:jc w:val="both"/>
      </w:pPr>
      <w:r>
        <w:rPr>
          <w:rFonts w:ascii="Calibri" w:eastAsia="Calibri" w:hAnsi="Calibri" w:cs="Calibri"/>
          <w:sz w:val="21"/>
          <w:szCs w:val="21"/>
        </w:rPr>
        <w:t xml:space="preserve">Ve druhém kvartále skupina odkoupila zbývající 30% minoritní podíl ve společnosti </w:t>
      </w:r>
      <w:proofErr w:type="spellStart"/>
      <w:r>
        <w:rPr>
          <w:rFonts w:ascii="Calibri" w:eastAsia="Calibri" w:hAnsi="Calibri" w:cs="Calibri"/>
          <w:sz w:val="21"/>
          <w:szCs w:val="21"/>
        </w:rPr>
        <w:t>Trius</w:t>
      </w:r>
      <w:proofErr w:type="spellEnd"/>
      <w:r>
        <w:rPr>
          <w:rFonts w:ascii="Calibri" w:eastAsia="Calibri" w:hAnsi="Calibri" w:cs="Calibri"/>
          <w:sz w:val="21"/>
          <w:szCs w:val="21"/>
        </w:rPr>
        <w:t xml:space="preserve"> (nyní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wood</w:t>
      </w:r>
      <w:proofErr w:type="spellEnd"/>
      <w:r>
        <w:rPr>
          <w:rFonts w:ascii="Calibri" w:eastAsia="Calibri" w:hAnsi="Calibri" w:cs="Calibri"/>
          <w:sz w:val="21"/>
          <w:szCs w:val="21"/>
        </w:rPr>
        <w:t xml:space="preserve">), která zajišťuje zpracování dřeva pro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Společnost je nyní stoprocentně vlastněna mateřskou společností a plně konsolidována. Zadlužení skupiny zůstává na konzervativní úrovni – čistý dluh dosáhl 62 milionů korun při poměru Net </w:t>
      </w:r>
      <w:proofErr w:type="spellStart"/>
      <w:r>
        <w:rPr>
          <w:rFonts w:ascii="Calibri" w:eastAsia="Calibri" w:hAnsi="Calibri" w:cs="Calibri"/>
          <w:sz w:val="21"/>
          <w:szCs w:val="21"/>
        </w:rPr>
        <w:t>debt</w:t>
      </w:r>
      <w:proofErr w:type="spellEnd"/>
      <w:r>
        <w:rPr>
          <w:rFonts w:ascii="Calibri" w:eastAsia="Calibri" w:hAnsi="Calibri" w:cs="Calibri"/>
          <w:sz w:val="21"/>
          <w:szCs w:val="21"/>
        </w:rPr>
        <w:t xml:space="preserve"> / </w:t>
      </w:r>
      <w:proofErr w:type="spellStart"/>
      <w:r>
        <w:rPr>
          <w:rFonts w:ascii="Calibri" w:eastAsia="Calibri" w:hAnsi="Calibri" w:cs="Calibri"/>
          <w:sz w:val="21"/>
          <w:szCs w:val="21"/>
        </w:rPr>
        <w:t>Equity</w:t>
      </w:r>
      <w:proofErr w:type="spellEnd"/>
      <w:r>
        <w:rPr>
          <w:rFonts w:ascii="Calibri" w:eastAsia="Calibri" w:hAnsi="Calibri" w:cs="Calibri"/>
          <w:sz w:val="21"/>
          <w:szCs w:val="21"/>
        </w:rPr>
        <w:t xml:space="preserve"> </w:t>
      </w:r>
      <w:r w:rsidR="00D935FD">
        <w:rPr>
          <w:rFonts w:ascii="Calibri" w:eastAsia="Calibri" w:hAnsi="Calibri" w:cs="Calibri"/>
          <w:sz w:val="21"/>
          <w:szCs w:val="21"/>
        </w:rPr>
        <w:t>0,15x</w:t>
      </w:r>
      <w:r>
        <w:rPr>
          <w:rFonts w:ascii="Calibri" w:eastAsia="Calibri" w:hAnsi="Calibri" w:cs="Calibri"/>
          <w:sz w:val="21"/>
          <w:szCs w:val="21"/>
        </w:rPr>
        <w:t xml:space="preserve"> a Net </w:t>
      </w:r>
      <w:proofErr w:type="spellStart"/>
      <w:r>
        <w:rPr>
          <w:rFonts w:ascii="Calibri" w:eastAsia="Calibri" w:hAnsi="Calibri" w:cs="Calibri"/>
          <w:sz w:val="21"/>
          <w:szCs w:val="21"/>
        </w:rPr>
        <w:t>debt</w:t>
      </w:r>
      <w:proofErr w:type="spellEnd"/>
      <w:r>
        <w:rPr>
          <w:rFonts w:ascii="Calibri" w:eastAsia="Calibri" w:hAnsi="Calibri" w:cs="Calibri"/>
          <w:sz w:val="21"/>
          <w:szCs w:val="21"/>
        </w:rPr>
        <w:t xml:space="preserve"> / LTM EBITDA 0,69x. Jeho meziroční nárůst souvisí zejména s vyšší rozpracovanou výrobou a s financováním odkupu minoritního podílu a investic; uvolnění pracovního kapitálu ve druhém pololetí 2026 by mělo vést ke snížení zadlužení.</w:t>
      </w:r>
    </w:p>
    <w:p w14:paraId="12F9C3BB" w14:textId="17D91532" w:rsidR="00CB230E" w:rsidRDefault="00794281">
      <w:pPr>
        <w:spacing w:after="200" w:line="276" w:lineRule="auto"/>
        <w:jc w:val="both"/>
      </w:pPr>
      <w:r>
        <w:rPr>
          <w:rFonts w:ascii="Calibri" w:eastAsia="Calibri" w:hAnsi="Calibri" w:cs="Calibri"/>
          <w:sz w:val="21"/>
          <w:szCs w:val="21"/>
        </w:rPr>
        <w:t xml:space="preserve">Na základě výsledků prvního pololetí skupina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potvrzuje svůj roční výhled pro rok 2026 a v tuto chvíli cílí na horní hranici pásma. Za celý rok předpokládá konsolidované tržby v rozsahu 1 250 až 1 350 milionů korun při EBITDA 83 až 87 milionů korun. Klíčovými faktory jsou komunální volby v regionu CEE, pokračující růst objednávek </w:t>
      </w:r>
      <w:r>
        <w:rPr>
          <w:rFonts w:ascii="Calibri" w:eastAsia="Calibri" w:hAnsi="Calibri" w:cs="Calibri"/>
          <w:sz w:val="21"/>
          <w:szCs w:val="21"/>
        </w:rPr>
        <w:lastRenderedPageBreak/>
        <w:t xml:space="preserve">a pozitivní příspěvek dceřiné společnosti </w:t>
      </w:r>
      <w:proofErr w:type="spellStart"/>
      <w:r>
        <w:rPr>
          <w:rFonts w:ascii="Calibri" w:eastAsia="Calibri" w:hAnsi="Calibri" w:cs="Calibri"/>
          <w:sz w:val="21"/>
          <w:szCs w:val="21"/>
        </w:rPr>
        <w:t>Kovostal</w:t>
      </w:r>
      <w:proofErr w:type="spellEnd"/>
      <w:r>
        <w:rPr>
          <w:rFonts w:ascii="Calibri" w:eastAsia="Calibri" w:hAnsi="Calibri" w:cs="Calibri"/>
          <w:sz w:val="21"/>
          <w:szCs w:val="21"/>
        </w:rPr>
        <w:t>, která pořídila nové technologie za 7 milionů korun pro zefektivnění kovovýroby a dodavatelského řetězce skupiny. Společnost rovněž očekává snížení úrokových nákladů v souladu s vývojem zadlužení.</w:t>
      </w:r>
    </w:p>
    <w:p w14:paraId="12D69F06" w14:textId="5606972F" w:rsidR="00CB230E" w:rsidRDefault="00794281">
      <w:pPr>
        <w:spacing w:after="200" w:line="276" w:lineRule="auto"/>
        <w:jc w:val="both"/>
      </w:pPr>
      <w:r>
        <w:rPr>
          <w:rFonts w:ascii="Calibri" w:eastAsia="Calibri" w:hAnsi="Calibri" w:cs="Calibri"/>
          <w:sz w:val="21"/>
          <w:szCs w:val="21"/>
        </w:rPr>
        <w:t xml:space="preserve">Společnost pokračuje v projektu výstavby nového výrobního závodu, přičemž žádost o stavební povolení </w:t>
      </w:r>
      <w:r w:rsidR="00144756">
        <w:rPr>
          <w:rFonts w:ascii="Calibri" w:eastAsia="Calibri" w:hAnsi="Calibri" w:cs="Calibri"/>
          <w:sz w:val="21"/>
          <w:szCs w:val="21"/>
        </w:rPr>
        <w:t>již byla podána</w:t>
      </w:r>
      <w:r>
        <w:rPr>
          <w:rFonts w:ascii="Calibri" w:eastAsia="Calibri" w:hAnsi="Calibri" w:cs="Calibri"/>
          <w:sz w:val="21"/>
          <w:szCs w:val="21"/>
        </w:rPr>
        <w:t>. Valná hromada schválila finální dividendu ve výši 4,5 Kč na jednu kmenovou akcii, jejíž výplata proběhla 15. září 2026.</w:t>
      </w:r>
    </w:p>
    <w:p w14:paraId="4E9F6499" w14:textId="4ECC9C9F" w:rsidR="00CB230E" w:rsidRDefault="00386D8E">
      <w:pPr>
        <w:spacing w:after="200" w:line="276" w:lineRule="auto"/>
        <w:jc w:val="both"/>
      </w:pPr>
      <w:r>
        <w:rPr>
          <w:rFonts w:ascii="Calibri" w:eastAsia="Calibri" w:hAnsi="Calibri" w:cs="Calibri"/>
          <w:sz w:val="21"/>
          <w:szCs w:val="21"/>
        </w:rPr>
        <w:t xml:space="preserve">Pro akcionáře, analytiky, zástupce médií i investorskou veřejnost pořádá společnost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a.s. </w:t>
      </w:r>
      <w:r>
        <w:rPr>
          <w:rFonts w:ascii="Calibri" w:eastAsia="Calibri" w:hAnsi="Calibri" w:cs="Calibri"/>
          <w:b/>
          <w:bCs/>
          <w:sz w:val="21"/>
          <w:szCs w:val="21"/>
        </w:rPr>
        <w:t>konferenční hovor</w:t>
      </w:r>
      <w:r>
        <w:rPr>
          <w:rFonts w:ascii="Calibri" w:eastAsia="Calibri" w:hAnsi="Calibri" w:cs="Calibri"/>
          <w:sz w:val="21"/>
          <w:szCs w:val="21"/>
        </w:rPr>
        <w:t xml:space="preserve">, který se uskuteční online </w:t>
      </w:r>
      <w:r w:rsidR="00794281" w:rsidRPr="00794281">
        <w:rPr>
          <w:rFonts w:ascii="Calibri" w:eastAsia="Calibri" w:hAnsi="Calibri" w:cs="Calibri"/>
          <w:sz w:val="21"/>
          <w:szCs w:val="21"/>
        </w:rPr>
        <w:t>24</w:t>
      </w:r>
      <w:r>
        <w:rPr>
          <w:rFonts w:ascii="Calibri" w:eastAsia="Calibri" w:hAnsi="Calibri" w:cs="Calibri"/>
          <w:sz w:val="21"/>
          <w:szCs w:val="21"/>
        </w:rPr>
        <w:t xml:space="preserve">. </w:t>
      </w:r>
      <w:r w:rsidR="00794281" w:rsidRPr="00794281">
        <w:rPr>
          <w:rFonts w:ascii="Calibri" w:eastAsia="Calibri" w:hAnsi="Calibri" w:cs="Calibri"/>
          <w:sz w:val="21"/>
          <w:szCs w:val="21"/>
        </w:rPr>
        <w:t>září</w:t>
      </w:r>
      <w:r>
        <w:rPr>
          <w:rFonts w:ascii="Calibri" w:eastAsia="Calibri" w:hAnsi="Calibri" w:cs="Calibri"/>
          <w:sz w:val="21"/>
          <w:szCs w:val="21"/>
        </w:rPr>
        <w:t xml:space="preserve"> v</w:t>
      </w:r>
      <w:r w:rsidR="00C07D07">
        <w:rPr>
          <w:rFonts w:ascii="Calibri" w:eastAsia="Calibri" w:hAnsi="Calibri" w:cs="Calibri"/>
          <w:sz w:val="21"/>
          <w:szCs w:val="21"/>
        </w:rPr>
        <w:t> 16:00</w:t>
      </w:r>
      <w:r>
        <w:rPr>
          <w:rFonts w:ascii="Calibri" w:eastAsia="Calibri" w:hAnsi="Calibri" w:cs="Calibri"/>
          <w:sz w:val="21"/>
          <w:szCs w:val="21"/>
        </w:rPr>
        <w:t xml:space="preserve"> hodin. Registrovat se na něj lze pomocí </w:t>
      </w:r>
      <w:hyperlink r:id="rId10" w:history="1">
        <w:r w:rsidRPr="00C07D07">
          <w:rPr>
            <w:rStyle w:val="Hypertextovodkaz"/>
            <w:rFonts w:ascii="Calibri" w:eastAsia="Calibri" w:hAnsi="Calibri" w:cs="Calibri"/>
            <w:sz w:val="21"/>
            <w:szCs w:val="21"/>
          </w:rPr>
          <w:t>tohoto odkazu</w:t>
        </w:r>
      </w:hyperlink>
      <w:r>
        <w:rPr>
          <w:rFonts w:ascii="Calibri" w:eastAsia="Calibri" w:hAnsi="Calibri" w:cs="Calibri"/>
          <w:sz w:val="21"/>
          <w:szCs w:val="21"/>
        </w:rPr>
        <w:t>.</w:t>
      </w:r>
    </w:p>
    <w:p w14:paraId="53E31CFE" w14:textId="77777777" w:rsidR="00CB230E" w:rsidRDefault="00386D8E">
      <w:pPr>
        <w:spacing w:after="100"/>
        <w:jc w:val="both"/>
      </w:pPr>
      <w:r>
        <w:rPr>
          <w:rFonts w:ascii="Calibri" w:eastAsia="Calibri" w:hAnsi="Calibri" w:cs="Calibri"/>
          <w:b/>
          <w:bCs/>
          <w:sz w:val="21"/>
          <w:szCs w:val="21"/>
        </w:rPr>
        <w:t xml:space="preserve">O </w:t>
      </w:r>
      <w:proofErr w:type="spellStart"/>
      <w:r>
        <w:rPr>
          <w:rFonts w:ascii="Calibri" w:eastAsia="Calibri" w:hAnsi="Calibri" w:cs="Calibri"/>
          <w:b/>
          <w:bCs/>
          <w:sz w:val="21"/>
          <w:szCs w:val="21"/>
        </w:rPr>
        <w:t>mmcité</w:t>
      </w:r>
      <w:proofErr w:type="spellEnd"/>
      <w:r>
        <w:rPr>
          <w:rFonts w:ascii="Calibri" w:eastAsia="Calibri" w:hAnsi="Calibri" w:cs="Calibri"/>
          <w:b/>
          <w:bCs/>
          <w:sz w:val="21"/>
          <w:szCs w:val="21"/>
        </w:rPr>
        <w:t>, a.s.</w:t>
      </w:r>
    </w:p>
    <w:p w14:paraId="4ADC2D31" w14:textId="77777777" w:rsidR="00CB230E" w:rsidRDefault="00386D8E">
      <w:pPr>
        <w:spacing w:after="200" w:line="276" w:lineRule="auto"/>
        <w:jc w:val="both"/>
      </w:pPr>
      <w:r>
        <w:rPr>
          <w:rFonts w:ascii="Calibri" w:eastAsia="Calibri" w:hAnsi="Calibri" w:cs="Calibri"/>
          <w:sz w:val="21"/>
          <w:szCs w:val="21"/>
        </w:rPr>
        <w:t xml:space="preserve">Globální skupina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zastřešená českou mateřskou společností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a.s. je výrobce a prodejce městského mobiliáře, který poskytuje městům nepostradatelné vybavení, jako jsou lavičky v parku, pítka, stojany na kola a mnoho dalšího. Dnes najdeme výrobky </w:t>
      </w:r>
      <w:proofErr w:type="spellStart"/>
      <w:r>
        <w:rPr>
          <w:rFonts w:ascii="Calibri" w:eastAsia="Calibri" w:hAnsi="Calibri" w:cs="Calibri"/>
          <w:sz w:val="21"/>
          <w:szCs w:val="21"/>
        </w:rPr>
        <w:t>mmcité</w:t>
      </w:r>
      <w:proofErr w:type="spellEnd"/>
      <w:r>
        <w:rPr>
          <w:rFonts w:ascii="Calibri" w:eastAsia="Calibri" w:hAnsi="Calibri" w:cs="Calibri"/>
          <w:sz w:val="21"/>
          <w:szCs w:val="21"/>
        </w:rPr>
        <w:t xml:space="preserve"> po celém světě s přímým obchodním zastoupením ve více než 30 zemích. Akcie společnosti se pod </w:t>
      </w:r>
      <w:proofErr w:type="spellStart"/>
      <w:r>
        <w:rPr>
          <w:rFonts w:ascii="Calibri" w:eastAsia="Calibri" w:hAnsi="Calibri" w:cs="Calibri"/>
          <w:sz w:val="21"/>
          <w:szCs w:val="21"/>
        </w:rPr>
        <w:t>tickerem</w:t>
      </w:r>
      <w:proofErr w:type="spellEnd"/>
      <w:r>
        <w:rPr>
          <w:rFonts w:ascii="Calibri" w:eastAsia="Calibri" w:hAnsi="Calibri" w:cs="Calibri"/>
          <w:sz w:val="21"/>
          <w:szCs w:val="21"/>
        </w:rPr>
        <w:t xml:space="preserve"> </w:t>
      </w:r>
      <w:r>
        <w:rPr>
          <w:rFonts w:ascii="Calibri" w:eastAsia="Calibri" w:hAnsi="Calibri" w:cs="Calibri"/>
          <w:b/>
          <w:bCs/>
          <w:sz w:val="21"/>
          <w:szCs w:val="21"/>
        </w:rPr>
        <w:t>MMCTE.PR</w:t>
      </w:r>
      <w:r>
        <w:rPr>
          <w:rFonts w:ascii="Calibri" w:eastAsia="Calibri" w:hAnsi="Calibri" w:cs="Calibri"/>
          <w:sz w:val="21"/>
          <w:szCs w:val="21"/>
        </w:rPr>
        <w:t xml:space="preserve"> obchodují od 1. srpna 2023 na trhu START Market pražské burzy a na burze RM-Systém.</w:t>
      </w:r>
    </w:p>
    <w:sectPr w:rsidR="00CB230E">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1893" w14:textId="77777777" w:rsidR="00093FA9" w:rsidRDefault="00093FA9" w:rsidP="00794281">
      <w:r>
        <w:separator/>
      </w:r>
    </w:p>
  </w:endnote>
  <w:endnote w:type="continuationSeparator" w:id="0">
    <w:p w14:paraId="1D1B4780" w14:textId="77777777" w:rsidR="00093FA9" w:rsidRDefault="00093FA9" w:rsidP="00794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9F3B" w14:textId="77777777" w:rsidR="00794281" w:rsidRDefault="0079428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4F3" w14:textId="77777777" w:rsidR="00794281" w:rsidRDefault="0079428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8F0B9" w14:textId="77777777" w:rsidR="00794281" w:rsidRDefault="0079428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4422B" w14:textId="77777777" w:rsidR="00093FA9" w:rsidRDefault="00093FA9" w:rsidP="00794281">
      <w:r>
        <w:separator/>
      </w:r>
    </w:p>
  </w:footnote>
  <w:footnote w:type="continuationSeparator" w:id="0">
    <w:p w14:paraId="207E23D6" w14:textId="77777777" w:rsidR="00093FA9" w:rsidRDefault="00093FA9" w:rsidP="00794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3FFC" w14:textId="77777777" w:rsidR="00794281" w:rsidRDefault="0079428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F5DD" w14:textId="77777777" w:rsidR="00794281" w:rsidRDefault="0079428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F4FC" w14:textId="77777777" w:rsidR="00794281" w:rsidRDefault="0079428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6E36"/>
    <w:multiLevelType w:val="hybridMultilevel"/>
    <w:tmpl w:val="D16E07C8"/>
    <w:lvl w:ilvl="0" w:tplc="FB7EB1BA">
      <w:start w:val="1"/>
      <w:numFmt w:val="bullet"/>
      <w:lvlText w:val="●"/>
      <w:lvlJc w:val="left"/>
      <w:pPr>
        <w:ind w:left="720" w:hanging="360"/>
      </w:pPr>
    </w:lvl>
    <w:lvl w:ilvl="1" w:tplc="A0C650E8">
      <w:start w:val="1"/>
      <w:numFmt w:val="bullet"/>
      <w:lvlText w:val="○"/>
      <w:lvlJc w:val="left"/>
      <w:pPr>
        <w:ind w:left="1440" w:hanging="360"/>
      </w:pPr>
    </w:lvl>
    <w:lvl w:ilvl="2" w:tplc="3C60C224">
      <w:start w:val="1"/>
      <w:numFmt w:val="bullet"/>
      <w:lvlText w:val="■"/>
      <w:lvlJc w:val="left"/>
      <w:pPr>
        <w:ind w:left="2160" w:hanging="360"/>
      </w:pPr>
    </w:lvl>
    <w:lvl w:ilvl="3" w:tplc="7E82BA64">
      <w:start w:val="1"/>
      <w:numFmt w:val="bullet"/>
      <w:lvlText w:val="●"/>
      <w:lvlJc w:val="left"/>
      <w:pPr>
        <w:ind w:left="2880" w:hanging="360"/>
      </w:pPr>
    </w:lvl>
    <w:lvl w:ilvl="4" w:tplc="36608236">
      <w:start w:val="1"/>
      <w:numFmt w:val="bullet"/>
      <w:lvlText w:val="○"/>
      <w:lvlJc w:val="left"/>
      <w:pPr>
        <w:ind w:left="3600" w:hanging="360"/>
      </w:pPr>
    </w:lvl>
    <w:lvl w:ilvl="5" w:tplc="E9CE3C14">
      <w:start w:val="1"/>
      <w:numFmt w:val="bullet"/>
      <w:lvlText w:val="■"/>
      <w:lvlJc w:val="left"/>
      <w:pPr>
        <w:ind w:left="4320" w:hanging="360"/>
      </w:pPr>
    </w:lvl>
    <w:lvl w:ilvl="6" w:tplc="2CA4E32A">
      <w:start w:val="1"/>
      <w:numFmt w:val="bullet"/>
      <w:lvlText w:val="●"/>
      <w:lvlJc w:val="left"/>
      <w:pPr>
        <w:ind w:left="5040" w:hanging="360"/>
      </w:pPr>
    </w:lvl>
    <w:lvl w:ilvl="7" w:tplc="5176916A">
      <w:start w:val="1"/>
      <w:numFmt w:val="bullet"/>
      <w:lvlText w:val="●"/>
      <w:lvlJc w:val="left"/>
      <w:pPr>
        <w:ind w:left="5760" w:hanging="360"/>
      </w:pPr>
    </w:lvl>
    <w:lvl w:ilvl="8" w:tplc="358E0E36">
      <w:start w:val="1"/>
      <w:numFmt w:val="bullet"/>
      <w:lvlText w:val="●"/>
      <w:lvlJc w:val="left"/>
      <w:pPr>
        <w:ind w:left="6480" w:hanging="360"/>
      </w:pPr>
    </w:lvl>
  </w:abstractNum>
  <w:num w:numId="1" w16cid:durableId="2350969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0E"/>
    <w:rsid w:val="00093FA9"/>
    <w:rsid w:val="00144756"/>
    <w:rsid w:val="00181A2D"/>
    <w:rsid w:val="00386D8E"/>
    <w:rsid w:val="00426D57"/>
    <w:rsid w:val="00794281"/>
    <w:rsid w:val="00C07D07"/>
    <w:rsid w:val="00CA1E2A"/>
    <w:rsid w:val="00CB230E"/>
    <w:rsid w:val="00D935FD"/>
    <w:rsid w:val="00E514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04E5"/>
  <w15:docId w15:val="{45129843-8B6E-43A1-B1DD-2F54460F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character" w:styleId="Nevyeenzmnka">
    <w:name w:val="Unresolved Mention"/>
    <w:basedOn w:val="Standardnpsmoodstavce"/>
    <w:uiPriority w:val="99"/>
    <w:semiHidden/>
    <w:unhideWhenUsed/>
    <w:rsid w:val="00C07D07"/>
    <w:rPr>
      <w:color w:val="605E5C"/>
      <w:shd w:val="clear" w:color="auto" w:fill="E1DFDD"/>
    </w:rPr>
  </w:style>
  <w:style w:type="paragraph" w:styleId="Zhlav">
    <w:name w:val="header"/>
    <w:basedOn w:val="Normln"/>
    <w:link w:val="ZhlavChar"/>
    <w:uiPriority w:val="99"/>
    <w:unhideWhenUsed/>
    <w:rsid w:val="00794281"/>
    <w:pPr>
      <w:tabs>
        <w:tab w:val="center" w:pos="4536"/>
        <w:tab w:val="right" w:pos="9072"/>
      </w:tabs>
    </w:pPr>
  </w:style>
  <w:style w:type="character" w:customStyle="1" w:styleId="ZhlavChar">
    <w:name w:val="Záhlaví Char"/>
    <w:basedOn w:val="Standardnpsmoodstavce"/>
    <w:link w:val="Zhlav"/>
    <w:uiPriority w:val="99"/>
    <w:rsid w:val="00794281"/>
  </w:style>
  <w:style w:type="paragraph" w:styleId="Zpat">
    <w:name w:val="footer"/>
    <w:basedOn w:val="Normln"/>
    <w:link w:val="ZpatChar"/>
    <w:uiPriority w:val="99"/>
    <w:unhideWhenUsed/>
    <w:rsid w:val="00794281"/>
    <w:pPr>
      <w:tabs>
        <w:tab w:val="center" w:pos="4536"/>
        <w:tab w:val="right" w:pos="9072"/>
      </w:tabs>
    </w:pPr>
  </w:style>
  <w:style w:type="character" w:customStyle="1" w:styleId="ZpatChar">
    <w:name w:val="Zápatí Char"/>
    <w:basedOn w:val="Standardnpsmoodstavce"/>
    <w:link w:val="Zpat"/>
    <w:uiPriority w:val="99"/>
    <w:rsid w:val="00794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ttendee.gotowebinar.com/register/345847580052007945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BDBCD9-B593-4461-98A6-E01B06968BE5}">
  <we:reference id="WA200010453" version="1.0.0.1" store="Omex" storeType="OMEX"/>
  <we:alternateReferences>
    <we:reference id="WA200010453" version="1.0.0.1" store="WA200010453" storeType="OMEX"/>
  </we:alternateReferences>
  <we:properties>
    <we:property name="claude.fileId" value="&quot;dfac2eb6-f273-422c-b786-35574ebd48f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9696749E520841B76F21C3D800E290" ma:contentTypeVersion="18" ma:contentTypeDescription="Create a new document." ma:contentTypeScope="" ma:versionID="6ed39df054e4d3f1a6ad3e027f34822b">
  <xsd:schema xmlns:xsd="http://www.w3.org/2001/XMLSchema" xmlns:xs="http://www.w3.org/2001/XMLSchema" xmlns:p="http://schemas.microsoft.com/office/2006/metadata/properties" xmlns:ns2="20a80884-f0df-4a7c-bfd9-1a4e59174724" xmlns:ns3="269f6989-9f82-4828-ad84-50e3f23f5c99" targetNamespace="http://schemas.microsoft.com/office/2006/metadata/properties" ma:root="true" ma:fieldsID="1453ec1f0e3bd349942e462e295334ee" ns2:_="" ns3:_="">
    <xsd:import namespace="20a80884-f0df-4a7c-bfd9-1a4e59174724"/>
    <xsd:import namespace="269f6989-9f82-4828-ad84-50e3f23f5c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80884-f0df-4a7c-bfd9-1a4e59174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83d015c-6295-475c-833f-8b58f18d206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f6989-9f82-4828-ad84-50e3f23f5c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ddfeaba-ff3b-47f3-bac5-d8287203256b}" ma:internalName="TaxCatchAll" ma:showField="CatchAllData" ma:web="269f6989-9f82-4828-ad84-50e3f23f5c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a80884-f0df-4a7c-bfd9-1a4e59174724">
      <Terms xmlns="http://schemas.microsoft.com/office/infopath/2007/PartnerControls"/>
    </lcf76f155ced4ddcb4097134ff3c332f>
    <TaxCatchAll xmlns="269f6989-9f82-4828-ad84-50e3f23f5c99"/>
  </documentManagement>
</p:properties>
</file>

<file path=customXml/itemProps1.xml><?xml version="1.0" encoding="utf-8"?>
<ds:datastoreItem xmlns:ds="http://schemas.openxmlformats.org/officeDocument/2006/customXml" ds:itemID="{9ECF553F-EFD5-4E34-8B9D-FD4AB320904D}">
  <ds:schemaRefs>
    <ds:schemaRef ds:uri="http://schemas.microsoft.com/sharepoint/v3/contenttype/forms"/>
  </ds:schemaRefs>
</ds:datastoreItem>
</file>

<file path=customXml/itemProps2.xml><?xml version="1.0" encoding="utf-8"?>
<ds:datastoreItem xmlns:ds="http://schemas.openxmlformats.org/officeDocument/2006/customXml" ds:itemID="{766A9EA8-1C87-4AED-BDAC-794FE547E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80884-f0df-4a7c-bfd9-1a4e59174724"/>
    <ds:schemaRef ds:uri="269f6989-9f82-4828-ad84-50e3f23f5c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F215FD-AA85-4EA1-AED3-EE5E7B518673}">
  <ds:schemaRefs>
    <ds:schemaRef ds:uri="http://schemas.microsoft.com/office/2006/metadata/properties"/>
    <ds:schemaRef ds:uri="http://schemas.microsoft.com/office/infopath/2007/PartnerControls"/>
    <ds:schemaRef ds:uri="20a80884-f0df-4a7c-bfd9-1a4e59174724"/>
    <ds:schemaRef ds:uri="269f6989-9f82-4828-ad84-50e3f23f5c9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692</Words>
  <Characters>3895</Characters>
  <Application>Microsoft Office Word</Application>
  <DocSecurity>0</DocSecurity>
  <Lines>69</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Přemysl Papp</cp:lastModifiedBy>
  <cp:revision>2</cp:revision>
  <dcterms:created xsi:type="dcterms:W3CDTF">2026-09-22T13:01:00Z</dcterms:created>
  <dcterms:modified xsi:type="dcterms:W3CDTF">2026-09-22T13:01:00Z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0x010100889696749E520841B76F21C3D800E290</vt:lpwstr>
  </property>
</Properties>
</file>